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54B" w:rsidRDefault="000D37EA" w:rsidP="006A454B">
      <w:pPr>
        <w:rPr>
          <w:b/>
          <w:sz w:val="28"/>
          <w:szCs w:val="28"/>
        </w:rPr>
      </w:pPr>
      <w:r>
        <w:rPr>
          <w:b/>
          <w:sz w:val="28"/>
          <w:szCs w:val="28"/>
        </w:rPr>
        <w:br/>
      </w:r>
      <w:r w:rsidR="00CE01EB" w:rsidRPr="00CE01EB">
        <w:rPr>
          <w:b/>
          <w:sz w:val="28"/>
          <w:szCs w:val="28"/>
        </w:rPr>
        <w:t>Neue Freischaltstellen für den Netzanschluss von Erzeugungsanlagen</w:t>
      </w:r>
    </w:p>
    <w:p w:rsidR="000D37EA" w:rsidRPr="000D37EA" w:rsidRDefault="00CE01EB" w:rsidP="006A454B">
      <w:pPr>
        <w:rPr>
          <w:rFonts w:cs="Arial"/>
          <w:b/>
          <w:sz w:val="22"/>
          <w:szCs w:val="22"/>
        </w:rPr>
      </w:pPr>
      <w:r w:rsidRPr="00CE01EB">
        <w:rPr>
          <w:b/>
          <w:sz w:val="22"/>
          <w:szCs w:val="22"/>
        </w:rPr>
        <w:t>Pflicht für alle Neuanlagen ab dem 27. April 2019</w:t>
      </w:r>
    </w:p>
    <w:p w:rsidR="002379FB" w:rsidRDefault="003F7CD6" w:rsidP="00B674AB">
      <w:pPr>
        <w:rPr>
          <w:sz w:val="22"/>
          <w:szCs w:val="22"/>
        </w:rPr>
      </w:pPr>
      <w:bookmarkStart w:id="0" w:name="dpfsent_1"/>
      <w:bookmarkEnd w:id="0"/>
      <w:r>
        <w:rPr>
          <w:rFonts w:cs="Arial"/>
        </w:rPr>
        <w:t xml:space="preserve">Die </w:t>
      </w:r>
      <w:r w:rsidR="00503C97">
        <w:rPr>
          <w:rFonts w:cs="Arial"/>
        </w:rPr>
        <w:t xml:space="preserve">rasante </w:t>
      </w:r>
      <w:r>
        <w:rPr>
          <w:rFonts w:cs="Arial"/>
        </w:rPr>
        <w:t>Zunahme von Erzeugungsanlagen, die in das Niederspannungsnetz einspeisen – allen voran die Photovoltaik-Anlagen – bringt  eine erhebliche netz- und systemtechnische Relevanz mit sich</w:t>
      </w:r>
      <w:r w:rsidR="00503C97">
        <w:rPr>
          <w:rFonts w:cs="Arial"/>
        </w:rPr>
        <w:t xml:space="preserve">. Ihr Anteil an der Stromversorgung </w:t>
      </w:r>
      <w:r w:rsidR="00224B52">
        <w:rPr>
          <w:rFonts w:cs="Arial"/>
        </w:rPr>
        <w:t>wächst</w:t>
      </w:r>
      <w:r w:rsidR="003966AE">
        <w:rPr>
          <w:rFonts w:cs="Arial"/>
        </w:rPr>
        <w:t xml:space="preserve"> zunehmend. Z</w:t>
      </w:r>
      <w:r w:rsidR="003966AE" w:rsidRPr="00CE01EB">
        <w:rPr>
          <w:sz w:val="22"/>
          <w:szCs w:val="22"/>
        </w:rPr>
        <w:t>ur Sicherstellung der Netzstabilität für die elektrische Energie-Versorgung</w:t>
      </w:r>
      <w:r w:rsidR="003966AE">
        <w:rPr>
          <w:sz w:val="22"/>
          <w:szCs w:val="22"/>
        </w:rPr>
        <w:t xml:space="preserve"> legen die </w:t>
      </w:r>
      <w:r w:rsidR="00BE1CC6">
        <w:rPr>
          <w:rFonts w:cs="Arial"/>
        </w:rPr>
        <w:t>neuen Anwendungsregeln VDE-AR-</w:t>
      </w:r>
      <w:r w:rsidR="00CC4845">
        <w:rPr>
          <w:rFonts w:cs="Arial"/>
        </w:rPr>
        <w:t xml:space="preserve">N </w:t>
      </w:r>
      <w:r w:rsidR="00BE1CC6">
        <w:rPr>
          <w:rFonts w:cs="Arial"/>
        </w:rPr>
        <w:t>4105</w:t>
      </w:r>
      <w:r w:rsidR="003966AE">
        <w:rPr>
          <w:rFonts w:cs="Arial"/>
        </w:rPr>
        <w:t xml:space="preserve"> und </w:t>
      </w:r>
      <w:r w:rsidR="00CC4845">
        <w:rPr>
          <w:rFonts w:cs="Arial"/>
        </w:rPr>
        <w:t xml:space="preserve">VDE-AR-N </w:t>
      </w:r>
      <w:r w:rsidR="003966AE">
        <w:rPr>
          <w:rFonts w:cs="Arial"/>
        </w:rPr>
        <w:t>4110</w:t>
      </w:r>
      <w:r w:rsidR="00BE1CC6">
        <w:rPr>
          <w:rFonts w:cs="Arial"/>
        </w:rPr>
        <w:t xml:space="preserve"> </w:t>
      </w:r>
      <w:r w:rsidR="003966AE">
        <w:rPr>
          <w:rFonts w:cs="Arial"/>
        </w:rPr>
        <w:t>neue technische</w:t>
      </w:r>
      <w:r w:rsidR="003966AE">
        <w:rPr>
          <w:sz w:val="22"/>
          <w:szCs w:val="22"/>
        </w:rPr>
        <w:t xml:space="preserve"> Anforderungen für den Anschluss von Erzeugungsanlagen fest. </w:t>
      </w:r>
      <w:r w:rsidR="00B674AB" w:rsidRPr="00CE01EB">
        <w:rPr>
          <w:sz w:val="22"/>
          <w:szCs w:val="22"/>
        </w:rPr>
        <w:t xml:space="preserve"> </w:t>
      </w:r>
    </w:p>
    <w:p w:rsidR="00C1043C" w:rsidRDefault="003966AE" w:rsidP="00C1043C">
      <w:pPr>
        <w:rPr>
          <w:rFonts w:cs="Arial"/>
        </w:rPr>
      </w:pPr>
      <w:r>
        <w:rPr>
          <w:rFonts w:cs="Arial"/>
        </w:rPr>
        <w:t xml:space="preserve">Hensel </w:t>
      </w:r>
      <w:r w:rsidR="003C3B21">
        <w:rPr>
          <w:rFonts w:cs="Arial"/>
        </w:rPr>
        <w:t xml:space="preserve">bietet </w:t>
      </w:r>
      <w:r>
        <w:rPr>
          <w:rFonts w:cs="Arial"/>
        </w:rPr>
        <w:t>seit Jahren anschlussfertige Installationslösungen für Erzeugungsanlagen, bekannt als Freischaltstellen, einer Kombination von NA-Schutz und Kuppelschalter.</w:t>
      </w:r>
      <w:r w:rsidR="00E85CA7">
        <w:rPr>
          <w:rFonts w:cs="Arial"/>
        </w:rPr>
        <w:t xml:space="preserve"> Großes Interesse fanden daher die neuen ENYSUN-Freischaltstellen</w:t>
      </w:r>
      <w:r w:rsidR="00C1043C">
        <w:rPr>
          <w:rFonts w:cs="Arial"/>
        </w:rPr>
        <w:t>, die das Unternehmen auf der intersolar Europe 2019 in München erstmals präsentierte. Sie setzen die neuen VDE-</w:t>
      </w:r>
      <w:r w:rsidR="00CC4845">
        <w:rPr>
          <w:rFonts w:cs="Arial"/>
        </w:rPr>
        <w:t>Anwendungsregeln</w:t>
      </w:r>
      <w:r w:rsidR="00C1043C">
        <w:rPr>
          <w:rFonts w:cs="Arial"/>
        </w:rPr>
        <w:t xml:space="preserve"> bereits um.</w:t>
      </w:r>
      <w:r w:rsidR="00251130">
        <w:rPr>
          <w:rFonts w:cs="Arial"/>
        </w:rPr>
        <w:t xml:space="preserve"> </w:t>
      </w:r>
      <w:r w:rsidR="00C1043C">
        <w:rPr>
          <w:rFonts w:cs="Arial"/>
        </w:rPr>
        <w:t>Das Sortiment der neuen Freischaltstellen deckt ein Leistungsspektrum in Stufen von 63 kW und 315 kW ab und ist ab sofort lieferbar.</w:t>
      </w:r>
    </w:p>
    <w:p w:rsidR="00CE01EB" w:rsidRPr="00CE01EB" w:rsidRDefault="00C76E9E" w:rsidP="00CE01EB">
      <w:pPr>
        <w:rPr>
          <w:b/>
          <w:sz w:val="22"/>
          <w:szCs w:val="22"/>
        </w:rPr>
      </w:pPr>
      <w:r>
        <w:rPr>
          <w:b/>
          <w:sz w:val="22"/>
          <w:szCs w:val="22"/>
        </w:rPr>
        <w:t>Was ändert sich für Erzeugungsanlagen</w:t>
      </w:r>
    </w:p>
    <w:p w:rsidR="00CE01EB" w:rsidRPr="00CE01EB" w:rsidRDefault="00CE01EB" w:rsidP="00CE01EB">
      <w:pPr>
        <w:rPr>
          <w:sz w:val="22"/>
          <w:szCs w:val="22"/>
        </w:rPr>
      </w:pPr>
      <w:r w:rsidRPr="00CE01EB">
        <w:rPr>
          <w:sz w:val="22"/>
          <w:szCs w:val="22"/>
        </w:rPr>
        <w:t>Kurz</w:t>
      </w:r>
      <w:r w:rsidR="002031A2">
        <w:rPr>
          <w:sz w:val="22"/>
          <w:szCs w:val="22"/>
        </w:rPr>
        <w:t>z</w:t>
      </w:r>
      <w:r w:rsidRPr="00CE01EB">
        <w:rPr>
          <w:sz w:val="22"/>
          <w:szCs w:val="22"/>
        </w:rPr>
        <w:t>eitige Netzstörungen</w:t>
      </w:r>
      <w:r>
        <w:rPr>
          <w:sz w:val="22"/>
          <w:szCs w:val="22"/>
        </w:rPr>
        <w:t>,</w:t>
      </w:r>
      <w:r w:rsidRPr="00CE01EB">
        <w:rPr>
          <w:sz w:val="22"/>
          <w:szCs w:val="22"/>
        </w:rPr>
        <w:t xml:space="preserve"> zum Beispiel durch Spannungs- oder Frequenzschwankungen</w:t>
      </w:r>
      <w:r>
        <w:rPr>
          <w:sz w:val="22"/>
          <w:szCs w:val="22"/>
        </w:rPr>
        <w:t>,</w:t>
      </w:r>
      <w:r w:rsidRPr="00CE01EB">
        <w:rPr>
          <w:sz w:val="22"/>
          <w:szCs w:val="22"/>
        </w:rPr>
        <w:t xml:space="preserve"> führten bisher häufig zur Abschaltung von Erzeugungsanlagen und damit zur Gefährdung der Netzstabilität. </w:t>
      </w:r>
      <w:r w:rsidR="00C1043C">
        <w:rPr>
          <w:sz w:val="22"/>
          <w:szCs w:val="22"/>
        </w:rPr>
        <w:t>Die neue VDE-AR-N 4105</w:t>
      </w:r>
      <w:r w:rsidRPr="00CE01EB">
        <w:rPr>
          <w:sz w:val="22"/>
          <w:szCs w:val="22"/>
        </w:rPr>
        <w:t xml:space="preserve"> </w:t>
      </w:r>
      <w:r w:rsidR="00C1043C">
        <w:rPr>
          <w:sz w:val="22"/>
          <w:szCs w:val="22"/>
        </w:rPr>
        <w:t>fordert daher eine dynamische Netz</w:t>
      </w:r>
      <w:r w:rsidRPr="00CE01EB">
        <w:rPr>
          <w:sz w:val="22"/>
          <w:szCs w:val="22"/>
        </w:rPr>
        <w:t xml:space="preserve">stützung </w:t>
      </w:r>
      <w:r w:rsidR="00C1043C">
        <w:rPr>
          <w:sz w:val="22"/>
          <w:szCs w:val="22"/>
        </w:rPr>
        <w:t xml:space="preserve">für Erzeugungsanlagen. </w:t>
      </w:r>
      <w:r w:rsidRPr="00CE01EB">
        <w:rPr>
          <w:sz w:val="22"/>
          <w:szCs w:val="22"/>
        </w:rPr>
        <w:t>Das bedeutet, eine</w:t>
      </w:r>
      <w:r w:rsidR="00C76E9E">
        <w:rPr>
          <w:sz w:val="22"/>
          <w:szCs w:val="22"/>
        </w:rPr>
        <w:t xml:space="preserve"> Erzeugungsanlage darf  in einem</w:t>
      </w:r>
      <w:r w:rsidR="00C55A1B">
        <w:rPr>
          <w:sz w:val="22"/>
          <w:szCs w:val="22"/>
        </w:rPr>
        <w:t xml:space="preserve"> definierten</w:t>
      </w:r>
      <w:r w:rsidR="00C76E9E">
        <w:rPr>
          <w:sz w:val="22"/>
          <w:szCs w:val="22"/>
        </w:rPr>
        <w:t xml:space="preserve"> </w:t>
      </w:r>
      <w:r w:rsidR="00C76E9E">
        <w:rPr>
          <w:sz w:val="22"/>
          <w:szCs w:val="22"/>
        </w:rPr>
        <w:lastRenderedPageBreak/>
        <w:t>Spannungsb</w:t>
      </w:r>
      <w:r w:rsidRPr="00CE01EB">
        <w:rPr>
          <w:sz w:val="22"/>
          <w:szCs w:val="22"/>
        </w:rPr>
        <w:t xml:space="preserve">ereich nicht abschalten und bei Über- oder Unterschreiten </w:t>
      </w:r>
      <w:r w:rsidR="00C76E9E">
        <w:rPr>
          <w:sz w:val="22"/>
          <w:szCs w:val="22"/>
        </w:rPr>
        <w:t xml:space="preserve">ist </w:t>
      </w:r>
      <w:r w:rsidRPr="00CE01EB">
        <w:rPr>
          <w:sz w:val="22"/>
          <w:szCs w:val="22"/>
        </w:rPr>
        <w:t>erst nach 3 Sekunden eine Abschaltung zulässig.</w:t>
      </w:r>
    </w:p>
    <w:p w:rsidR="00CE01EB" w:rsidRPr="00CE01EB" w:rsidRDefault="00CE01EB" w:rsidP="00CE01EB">
      <w:pPr>
        <w:rPr>
          <w:b/>
          <w:sz w:val="22"/>
          <w:szCs w:val="22"/>
        </w:rPr>
      </w:pPr>
      <w:r w:rsidRPr="00CE01EB">
        <w:rPr>
          <w:b/>
          <w:sz w:val="22"/>
          <w:szCs w:val="22"/>
        </w:rPr>
        <w:t>Zusammenspiel zentraler NA-Schutz und Kuppelschalter</w:t>
      </w:r>
    </w:p>
    <w:p w:rsidR="00CE01EB" w:rsidRPr="00CE01EB" w:rsidRDefault="00CE01EB" w:rsidP="00CE01EB">
      <w:pPr>
        <w:rPr>
          <w:sz w:val="22"/>
          <w:szCs w:val="22"/>
        </w:rPr>
      </w:pPr>
      <w:r w:rsidRPr="00CE01EB">
        <w:rPr>
          <w:sz w:val="22"/>
          <w:szCs w:val="22"/>
        </w:rPr>
        <w:t xml:space="preserve">Der Netz- und Anlagenschutz übernimmt dabei die Überwachungs- und Schutzfunktion. Hierzu gehören die Kontrolle der Netzspannung, der Netzfrequenz sowie die Erkennung eines </w:t>
      </w:r>
      <w:r>
        <w:rPr>
          <w:sz w:val="22"/>
          <w:szCs w:val="22"/>
        </w:rPr>
        <w:t>möglichen</w:t>
      </w:r>
      <w:r w:rsidRPr="00CE01EB">
        <w:rPr>
          <w:sz w:val="22"/>
          <w:szCs w:val="22"/>
        </w:rPr>
        <w:t xml:space="preserve"> Inselbetriebs. Sobald eine oder mehrere  Funktione</w:t>
      </w:r>
      <w:r>
        <w:rPr>
          <w:sz w:val="22"/>
          <w:szCs w:val="22"/>
        </w:rPr>
        <w:t xml:space="preserve">n aus dem Sollbereich herausgehen, </w:t>
      </w:r>
      <w:r w:rsidRPr="00CE01EB">
        <w:rPr>
          <w:sz w:val="22"/>
          <w:szCs w:val="22"/>
        </w:rPr>
        <w:t>erfolgt das Signal zur Abschaltung an den zentralen Kuppelschalter sowie auch an Kuppelschalter</w:t>
      </w:r>
      <w:r>
        <w:rPr>
          <w:sz w:val="22"/>
          <w:szCs w:val="22"/>
        </w:rPr>
        <w:t>,</w:t>
      </w:r>
      <w:r w:rsidRPr="00CE01EB">
        <w:rPr>
          <w:sz w:val="22"/>
          <w:szCs w:val="22"/>
        </w:rPr>
        <w:t xml:space="preserve"> die in den Erzeugungsanlagen integriert sind.</w:t>
      </w:r>
    </w:p>
    <w:p w:rsidR="00CE01EB" w:rsidRPr="00CE01EB" w:rsidRDefault="00CE01EB" w:rsidP="00CE01EB">
      <w:pPr>
        <w:rPr>
          <w:b/>
          <w:sz w:val="22"/>
          <w:szCs w:val="22"/>
        </w:rPr>
      </w:pPr>
      <w:r w:rsidRPr="00CE01EB">
        <w:rPr>
          <w:b/>
          <w:sz w:val="22"/>
          <w:szCs w:val="22"/>
        </w:rPr>
        <w:t xml:space="preserve">Die neuen Freischaltstellen von Hensel mit zentralem Kuppelschalter </w:t>
      </w:r>
      <w:r w:rsidR="00C76E9E">
        <w:rPr>
          <w:b/>
          <w:sz w:val="22"/>
          <w:szCs w:val="22"/>
        </w:rPr>
        <w:t>erfüllen die Forderungen der</w:t>
      </w:r>
      <w:r w:rsidRPr="00CE01EB">
        <w:rPr>
          <w:b/>
          <w:sz w:val="22"/>
          <w:szCs w:val="22"/>
        </w:rPr>
        <w:t xml:space="preserve"> neue</w:t>
      </w:r>
      <w:r w:rsidR="00C76E9E">
        <w:rPr>
          <w:b/>
          <w:sz w:val="22"/>
          <w:szCs w:val="22"/>
        </w:rPr>
        <w:t>n</w:t>
      </w:r>
      <w:r w:rsidR="00CC4845">
        <w:rPr>
          <w:b/>
          <w:sz w:val="22"/>
          <w:szCs w:val="22"/>
        </w:rPr>
        <w:t xml:space="preserve"> VDE-AR-N 4105 und 4110</w:t>
      </w:r>
      <w:r w:rsidRPr="00CE01EB">
        <w:rPr>
          <w:b/>
          <w:sz w:val="22"/>
          <w:szCs w:val="22"/>
        </w:rPr>
        <w:t>: 2018-11</w:t>
      </w:r>
    </w:p>
    <w:p w:rsidR="00CE01EB" w:rsidRPr="00CE01EB" w:rsidRDefault="00CE01EB" w:rsidP="00CE01EB">
      <w:pPr>
        <w:rPr>
          <w:sz w:val="22"/>
          <w:szCs w:val="22"/>
        </w:rPr>
      </w:pPr>
      <w:r w:rsidRPr="00CE01EB">
        <w:rPr>
          <w:sz w:val="22"/>
          <w:szCs w:val="22"/>
        </w:rPr>
        <w:t xml:space="preserve">Die Leistung der Erzeugungsanlage entscheidet über die technischen Anforderungen für den Netzanschluss. </w:t>
      </w:r>
    </w:p>
    <w:p w:rsidR="00CE01EB" w:rsidRPr="00CE01EB" w:rsidRDefault="00CE01EB" w:rsidP="00CE01EB">
      <w:pPr>
        <w:rPr>
          <w:sz w:val="22"/>
          <w:szCs w:val="22"/>
        </w:rPr>
      </w:pPr>
      <w:r>
        <w:rPr>
          <w:sz w:val="22"/>
          <w:szCs w:val="22"/>
        </w:rPr>
        <w:t xml:space="preserve">• </w:t>
      </w:r>
      <w:r w:rsidRPr="00CE01EB">
        <w:rPr>
          <w:sz w:val="22"/>
          <w:szCs w:val="22"/>
        </w:rPr>
        <w:t xml:space="preserve">Für Anlagen &lt; 135 kW gelten die </w:t>
      </w:r>
      <w:r>
        <w:rPr>
          <w:sz w:val="22"/>
          <w:szCs w:val="22"/>
        </w:rPr>
        <w:t>Festlegungen der VDE-AR-N 4105.</w:t>
      </w:r>
    </w:p>
    <w:p w:rsidR="00CE01EB" w:rsidRPr="00CE01EB" w:rsidRDefault="00CE01EB" w:rsidP="00CE01EB">
      <w:pPr>
        <w:rPr>
          <w:sz w:val="22"/>
          <w:szCs w:val="22"/>
        </w:rPr>
      </w:pPr>
      <w:r>
        <w:rPr>
          <w:sz w:val="22"/>
          <w:szCs w:val="22"/>
        </w:rPr>
        <w:t xml:space="preserve">• </w:t>
      </w:r>
      <w:r w:rsidRPr="00CE01EB">
        <w:rPr>
          <w:sz w:val="22"/>
          <w:szCs w:val="22"/>
        </w:rPr>
        <w:t>Für Anlagen gleich oder &gt; 135 kW gelten die Festlegungen der VDE-AR-N 4110</w:t>
      </w:r>
      <w:r>
        <w:rPr>
          <w:sz w:val="22"/>
          <w:szCs w:val="22"/>
        </w:rPr>
        <w:t>.</w:t>
      </w:r>
    </w:p>
    <w:p w:rsidR="00C76E9E" w:rsidRDefault="00CE01EB" w:rsidP="00CE01EB">
      <w:pPr>
        <w:rPr>
          <w:sz w:val="22"/>
          <w:szCs w:val="22"/>
        </w:rPr>
      </w:pPr>
      <w:r w:rsidRPr="00CE01EB">
        <w:rPr>
          <w:sz w:val="22"/>
          <w:szCs w:val="22"/>
        </w:rPr>
        <w:t xml:space="preserve">Der </w:t>
      </w:r>
      <w:r w:rsidR="00C76E9E">
        <w:rPr>
          <w:sz w:val="22"/>
          <w:szCs w:val="22"/>
        </w:rPr>
        <w:t xml:space="preserve">zentrale </w:t>
      </w:r>
      <w:r w:rsidRPr="00CE01EB">
        <w:rPr>
          <w:sz w:val="22"/>
          <w:szCs w:val="22"/>
        </w:rPr>
        <w:t>Kuppelschalter</w:t>
      </w:r>
      <w:r w:rsidR="00C76E9E">
        <w:rPr>
          <w:sz w:val="22"/>
          <w:szCs w:val="22"/>
        </w:rPr>
        <w:t xml:space="preserve"> muss im TN-Netz 3-polig und im TT-Netz oder bei Inselnetzbetrieb 4-polig ausgeführt sein.</w:t>
      </w:r>
    </w:p>
    <w:p w:rsidR="00CE01EB" w:rsidRPr="00CE01EB" w:rsidRDefault="00CE01EB" w:rsidP="00CE01EB">
      <w:pPr>
        <w:rPr>
          <w:sz w:val="22"/>
          <w:szCs w:val="22"/>
        </w:rPr>
      </w:pPr>
      <w:r w:rsidRPr="00CE01EB">
        <w:rPr>
          <w:sz w:val="22"/>
          <w:szCs w:val="22"/>
        </w:rPr>
        <w:t xml:space="preserve">Zusätzlich ist eine Funktionskontrolle vorgeschrieben. Die Hensel Freischaltstelle überwacht dazu die anliegende Steuerspannung und schaltet bei Spannungsausfall den Kuppelschalter selbstständig ab. Die betriebsmäßigen Ein- und Ausschaltvorgängen  werden </w:t>
      </w:r>
      <w:r w:rsidR="00C76E9E">
        <w:rPr>
          <w:sz w:val="22"/>
          <w:szCs w:val="22"/>
        </w:rPr>
        <w:t>vom NA-Schutz kontrolliert.</w:t>
      </w:r>
    </w:p>
    <w:p w:rsidR="00CE01EB" w:rsidRPr="00CE01EB" w:rsidRDefault="00CE01EB" w:rsidP="00CE01EB">
      <w:pPr>
        <w:rPr>
          <w:sz w:val="22"/>
          <w:szCs w:val="22"/>
        </w:rPr>
      </w:pPr>
      <w:r>
        <w:rPr>
          <w:sz w:val="22"/>
          <w:szCs w:val="22"/>
        </w:rPr>
        <w:t>A</w:t>
      </w:r>
      <w:r w:rsidRPr="00CE01EB">
        <w:rPr>
          <w:sz w:val="22"/>
          <w:szCs w:val="22"/>
        </w:rPr>
        <w:t>nschlussfertige Freischaltstellen</w:t>
      </w:r>
      <w:r>
        <w:rPr>
          <w:sz w:val="22"/>
          <w:szCs w:val="22"/>
        </w:rPr>
        <w:t xml:space="preserve"> von Hensel</w:t>
      </w:r>
      <w:r w:rsidRPr="00CE01EB">
        <w:rPr>
          <w:sz w:val="22"/>
          <w:szCs w:val="22"/>
        </w:rPr>
        <w:t xml:space="preserve">  sind für den Niederspannungsanschluss von Erzeugungsanlagen mit einer Leistung zwischen  63 kW und 315 kW in Stufen verfügbar. </w:t>
      </w:r>
    </w:p>
    <w:p w:rsidR="000D37EA" w:rsidRDefault="00CE01EB" w:rsidP="00CE01EB">
      <w:pPr>
        <w:rPr>
          <w:sz w:val="22"/>
          <w:szCs w:val="22"/>
        </w:rPr>
      </w:pPr>
      <w:r w:rsidRPr="00CE01EB">
        <w:rPr>
          <w:sz w:val="22"/>
          <w:szCs w:val="22"/>
        </w:rPr>
        <w:lastRenderedPageBreak/>
        <w:t xml:space="preserve">Die Ausführungsvarianten berücksichtigen alle Anforderungen der neuen Anwendungsregeln </w:t>
      </w:r>
      <w:r>
        <w:rPr>
          <w:sz w:val="22"/>
          <w:szCs w:val="22"/>
        </w:rPr>
        <w:t>VDE-AR-</w:t>
      </w:r>
      <w:r w:rsidR="00C76E9E">
        <w:rPr>
          <w:sz w:val="22"/>
          <w:szCs w:val="22"/>
        </w:rPr>
        <w:t xml:space="preserve">N </w:t>
      </w:r>
      <w:r w:rsidRPr="00CE01EB">
        <w:rPr>
          <w:sz w:val="22"/>
          <w:szCs w:val="22"/>
        </w:rPr>
        <w:t xml:space="preserve">4105 und </w:t>
      </w:r>
      <w:r>
        <w:rPr>
          <w:sz w:val="22"/>
          <w:szCs w:val="22"/>
        </w:rPr>
        <w:t>VDE-AR-</w:t>
      </w:r>
      <w:r w:rsidR="00C76E9E">
        <w:rPr>
          <w:sz w:val="22"/>
          <w:szCs w:val="22"/>
        </w:rPr>
        <w:t xml:space="preserve">N </w:t>
      </w:r>
      <w:r w:rsidRPr="00CE01EB">
        <w:rPr>
          <w:sz w:val="22"/>
          <w:szCs w:val="22"/>
        </w:rPr>
        <w:t>4110.</w:t>
      </w:r>
    </w:p>
    <w:p w:rsidR="00C76E9E" w:rsidRPr="00F518AC" w:rsidRDefault="00C76E9E" w:rsidP="00C76E9E">
      <w:pPr>
        <w:ind w:right="964"/>
        <w:rPr>
          <w:rFonts w:cs="Arial"/>
          <w:b/>
        </w:rPr>
      </w:pPr>
      <w:r w:rsidRPr="00F518AC">
        <w:rPr>
          <w:rFonts w:cs="Arial"/>
          <w:b/>
        </w:rPr>
        <w:t>Fazit</w:t>
      </w:r>
    </w:p>
    <w:p w:rsidR="00C76E9E" w:rsidRDefault="00C76E9E" w:rsidP="00C76E9E">
      <w:pPr>
        <w:ind w:right="964"/>
        <w:rPr>
          <w:rFonts w:cs="Arial"/>
        </w:rPr>
      </w:pPr>
      <w:r>
        <w:rPr>
          <w:rFonts w:cs="Arial"/>
        </w:rPr>
        <w:t>Die neuen</w:t>
      </w:r>
      <w:r w:rsidR="00FC2DF6">
        <w:rPr>
          <w:rFonts w:cs="Arial"/>
        </w:rPr>
        <w:t>, ab sofort lieferbaren</w:t>
      </w:r>
      <w:r>
        <w:rPr>
          <w:rFonts w:cs="Arial"/>
        </w:rPr>
        <w:t xml:space="preserve"> ENYSUN-Freischaltstellen von Hensel berücksichtigen bereits alle Aspekte für die normenkonforme Installation</w:t>
      </w:r>
      <w:r w:rsidR="00FC2DF6">
        <w:rPr>
          <w:rFonts w:cs="Arial"/>
        </w:rPr>
        <w:t xml:space="preserve">. Sie </w:t>
      </w:r>
      <w:r>
        <w:rPr>
          <w:rFonts w:cs="Arial"/>
        </w:rPr>
        <w:t>erleichtern dem Elektrofachmann Planung, Projektierung und Errichtung von Photovoltaik-Anlagen im Niederspannungsortsnetz des Netzbetreibers</w:t>
      </w:r>
      <w:r w:rsidR="00CC4845">
        <w:rPr>
          <w:rFonts w:cs="Arial"/>
        </w:rPr>
        <w:t xml:space="preserve"> oder im Niederspannungsnetz des Anlagenbetreibers</w:t>
      </w:r>
      <w:r w:rsidR="00416506">
        <w:rPr>
          <w:rFonts w:cs="Arial"/>
        </w:rPr>
        <w:t xml:space="preserve">. Kuppelschalter </w:t>
      </w:r>
      <w:r w:rsidR="00416506" w:rsidRPr="00416506">
        <w:rPr>
          <w:rFonts w:cs="Arial"/>
        </w:rPr>
        <w:t>und weitere Geräte, z.B. Vorsicherungen, sind anschlussfertig in das bewährte HENSEL Mi-System eingebaut</w:t>
      </w:r>
      <w:r w:rsidR="00416506">
        <w:rPr>
          <w:rFonts w:cs="Arial"/>
        </w:rPr>
        <w:t>. Sie</w:t>
      </w:r>
      <w:r w:rsidR="00416506" w:rsidRPr="00416506">
        <w:rPr>
          <w:rFonts w:cs="Arial"/>
        </w:rPr>
        <w:t xml:space="preserve"> erfüllen </w:t>
      </w:r>
      <w:r w:rsidR="00416506">
        <w:rPr>
          <w:rFonts w:cs="Arial"/>
        </w:rPr>
        <w:t>die</w:t>
      </w:r>
      <w:r w:rsidR="00416506" w:rsidRPr="00416506">
        <w:rPr>
          <w:rFonts w:cs="Arial"/>
        </w:rPr>
        <w:t xml:space="preserve"> Anforderungen an die Schutzart (IP 54 / IP 65), Schlagfestigkeit (IK 08) und UV-Beständigkeit. Geeignete Leitungseinführungen und robuste Montageschienen sind im Lieferumfang enthalten. Freischaltstellen erfüllen die Anforderungen gegen den elektrischen Schlag durch die Schutzklasse II (Isolierung).</w:t>
      </w:r>
    </w:p>
    <w:p w:rsidR="00FC2DF6" w:rsidRDefault="00FC2DF6" w:rsidP="00C76E9E">
      <w:pPr>
        <w:ind w:right="964"/>
        <w:rPr>
          <w:rFonts w:cs="Arial"/>
        </w:rPr>
      </w:pPr>
      <w:r>
        <w:rPr>
          <w:rFonts w:cs="Arial"/>
        </w:rPr>
        <w:t xml:space="preserve">Für Fachleute bietet Hensel Kompakt-Wissen zum Thema in neuen Webinaren. Die nächsten Termine finden Interessierte unter </w:t>
      </w:r>
      <w:r w:rsidR="0082434E">
        <w:rPr>
          <w:rFonts w:cs="Arial"/>
        </w:rPr>
        <w:t>www.hensel-electric.de.</w:t>
      </w:r>
    </w:p>
    <w:p w:rsidR="00051E47" w:rsidRDefault="00051E47" w:rsidP="006A454B">
      <w:pPr>
        <w:ind w:right="964"/>
        <w:rPr>
          <w:sz w:val="22"/>
          <w:szCs w:val="22"/>
        </w:rPr>
      </w:pPr>
      <w:bookmarkStart w:id="1" w:name="dpfsent_2"/>
      <w:bookmarkEnd w:id="1"/>
    </w:p>
    <w:p w:rsidR="006A454B" w:rsidRPr="001050C5" w:rsidRDefault="0082434E" w:rsidP="006A454B">
      <w:pPr>
        <w:ind w:right="964"/>
        <w:rPr>
          <w:sz w:val="22"/>
          <w:szCs w:val="22"/>
        </w:rPr>
      </w:pPr>
      <w:r>
        <w:rPr>
          <w:sz w:val="22"/>
          <w:szCs w:val="22"/>
        </w:rPr>
        <w:t>4</w:t>
      </w:r>
      <w:r w:rsidR="00416506">
        <w:rPr>
          <w:sz w:val="22"/>
          <w:szCs w:val="22"/>
        </w:rPr>
        <w:t>96</w:t>
      </w:r>
      <w:r w:rsidR="006A454B" w:rsidRPr="001050C5">
        <w:rPr>
          <w:sz w:val="22"/>
          <w:szCs w:val="22"/>
        </w:rPr>
        <w:t xml:space="preserve"> Wörter</w:t>
      </w:r>
      <w:r w:rsidR="000D37EA">
        <w:rPr>
          <w:sz w:val="22"/>
          <w:szCs w:val="22"/>
        </w:rPr>
        <w:br/>
      </w:r>
      <w:r w:rsidR="00416506">
        <w:rPr>
          <w:sz w:val="22"/>
          <w:szCs w:val="22"/>
        </w:rPr>
        <w:t>4.046</w:t>
      </w:r>
      <w:bookmarkStart w:id="2" w:name="_GoBack"/>
      <w:bookmarkEnd w:id="2"/>
      <w:r w:rsidR="006A454B" w:rsidRPr="001050C5">
        <w:rPr>
          <w:sz w:val="22"/>
          <w:szCs w:val="22"/>
        </w:rPr>
        <w:t xml:space="preserve"> Zeichen einschließlich Leerzeichen</w:t>
      </w:r>
    </w:p>
    <w:p w:rsidR="00051E47" w:rsidRDefault="00051E47" w:rsidP="006A454B">
      <w:pPr>
        <w:ind w:right="964"/>
        <w:rPr>
          <w:sz w:val="22"/>
          <w:szCs w:val="22"/>
        </w:rPr>
      </w:pPr>
    </w:p>
    <w:p w:rsidR="006A454B" w:rsidRDefault="006A454B" w:rsidP="006A454B">
      <w:pPr>
        <w:ind w:right="964"/>
      </w:pPr>
      <w:r>
        <w:t>Bild 1:</w:t>
      </w:r>
    </w:p>
    <w:p w:rsidR="00C55A1B" w:rsidRDefault="00C55A1B" w:rsidP="00C55A1B">
      <w:pPr>
        <w:ind w:right="964"/>
      </w:pPr>
      <w:r w:rsidRPr="00C55A1B">
        <w:t>Anschlussfertige Freischaltstellen von Hensel berücksichtigen bereits alle normativen Forderungen</w:t>
      </w:r>
      <w:r>
        <w:t xml:space="preserve"> der VDE-AR-N 4105 und 4110</w:t>
      </w:r>
      <w:r w:rsidRPr="00C55A1B">
        <w:t xml:space="preserve"> für den Netzanschluss von Erzeugungsanlagen.</w:t>
      </w:r>
    </w:p>
    <w:p w:rsidR="00C55A1B" w:rsidRDefault="00416506" w:rsidP="006A454B">
      <w:pPr>
        <w:ind w:right="964"/>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5pt;height:84.45pt">
            <v:imagedata r:id="rId7" o:title="Bild1_72dpi"/>
          </v:shape>
        </w:pict>
      </w:r>
    </w:p>
    <w:p w:rsidR="006A454B" w:rsidRDefault="006A454B" w:rsidP="006A454B">
      <w:pPr>
        <w:ind w:right="964"/>
      </w:pPr>
      <w:r>
        <w:t>Bild</w:t>
      </w:r>
      <w:r w:rsidR="00C55A1B">
        <w:t xml:space="preserve"> 2</w:t>
      </w:r>
      <w:r>
        <w:t xml:space="preserve">: </w:t>
      </w:r>
    </w:p>
    <w:p w:rsidR="006A454B" w:rsidRDefault="00416506" w:rsidP="006A454B">
      <w:r>
        <w:pict>
          <v:shape id="_x0000_i1026" type="#_x0000_t75" style="width:121.15pt;height:128.1pt">
            <v:imagedata r:id="rId8" o:title="Schaltbilder_Kuppelschalter"/>
          </v:shape>
        </w:pict>
      </w:r>
    </w:p>
    <w:p w:rsidR="00E857DF" w:rsidRDefault="00E857DF" w:rsidP="006A454B"/>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9"/>
      <w:footerReference w:type="default" r:id="rId10"/>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DF6" w:rsidRDefault="00FC2DF6" w:rsidP="006A454B">
      <w:pPr>
        <w:spacing w:before="0" w:line="240" w:lineRule="auto"/>
      </w:pPr>
      <w:r>
        <w:separator/>
      </w:r>
    </w:p>
  </w:endnote>
  <w:endnote w:type="continuationSeparator" w:id="0">
    <w:p w:rsidR="00FC2DF6" w:rsidRDefault="00FC2DF6"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F6" w:rsidRDefault="00FC2DF6" w:rsidP="006A454B">
    <w:pPr>
      <w:pStyle w:val="Fuzeile"/>
      <w:ind w:right="-28"/>
      <w:rPr>
        <w:rFonts w:cs="Arial"/>
        <w:u w:val="single"/>
      </w:rPr>
    </w:pPr>
  </w:p>
  <w:p w:rsidR="00FC2DF6" w:rsidRDefault="00FC2DF6" w:rsidP="006A454B">
    <w:pPr>
      <w:pStyle w:val="Fuzeile"/>
      <w:ind w:right="-28"/>
      <w:rPr>
        <w:rFonts w:cs="Arial"/>
        <w:u w:val="single"/>
      </w:rPr>
    </w:pPr>
    <w:r>
      <w:rPr>
        <w:rFonts w:cs="Arial"/>
        <w:u w:val="single"/>
      </w:rPr>
      <w:t>Gesprächspartner für die Presse:</w:t>
    </w:r>
  </w:p>
  <w:p w:rsidR="00FC2DF6" w:rsidRDefault="00FC2DF6"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rsidR="00FC2DF6" w:rsidRPr="006A454B" w:rsidRDefault="00FC2DF6"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DF6" w:rsidRDefault="00FC2DF6" w:rsidP="006A454B">
      <w:pPr>
        <w:spacing w:before="0" w:line="240" w:lineRule="auto"/>
      </w:pPr>
      <w:r>
        <w:separator/>
      </w:r>
    </w:p>
  </w:footnote>
  <w:footnote w:type="continuationSeparator" w:id="0">
    <w:p w:rsidR="00FC2DF6" w:rsidRDefault="00FC2DF6" w:rsidP="006A4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F6" w:rsidRDefault="00FC2DF6"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11DDDD1E" wp14:editId="077870D0">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DF6" w:rsidRDefault="00FC2DF6" w:rsidP="006A454B">
    <w:pPr>
      <w:pStyle w:val="Kopfzeile"/>
      <w:tabs>
        <w:tab w:val="clear" w:pos="9072"/>
      </w:tabs>
      <w:ind w:left="-284" w:right="-850"/>
      <w:jc w:val="both"/>
      <w:rPr>
        <w:b/>
        <w:sz w:val="32"/>
        <w:szCs w:val="32"/>
      </w:rPr>
    </w:pPr>
  </w:p>
  <w:p w:rsidR="00FC2DF6" w:rsidRPr="000A70F2" w:rsidRDefault="00FC2DF6" w:rsidP="006A454B">
    <w:pPr>
      <w:pStyle w:val="Kopfzeile"/>
      <w:tabs>
        <w:tab w:val="clear" w:pos="9072"/>
      </w:tabs>
      <w:ind w:right="-850"/>
      <w:jc w:val="both"/>
      <w:rPr>
        <w:b/>
        <w:sz w:val="32"/>
        <w:szCs w:val="32"/>
      </w:rPr>
    </w:pPr>
    <w:r>
      <w:rPr>
        <w:b/>
        <w:sz w:val="32"/>
        <w:szCs w:val="32"/>
      </w:rPr>
      <w:t>Pressebericht</w:t>
    </w:r>
  </w:p>
  <w:p w:rsidR="00FC2DF6" w:rsidRDefault="00FC2DF6"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4B"/>
    <w:rsid w:val="00051E47"/>
    <w:rsid w:val="000D37EA"/>
    <w:rsid w:val="001050C5"/>
    <w:rsid w:val="0012245D"/>
    <w:rsid w:val="002031A2"/>
    <w:rsid w:val="00224B52"/>
    <w:rsid w:val="002379FB"/>
    <w:rsid w:val="00251130"/>
    <w:rsid w:val="002A1E08"/>
    <w:rsid w:val="003966AE"/>
    <w:rsid w:val="003C3B21"/>
    <w:rsid w:val="003F7CD6"/>
    <w:rsid w:val="00416506"/>
    <w:rsid w:val="00503C97"/>
    <w:rsid w:val="00603A13"/>
    <w:rsid w:val="006A454B"/>
    <w:rsid w:val="0082434E"/>
    <w:rsid w:val="00833C66"/>
    <w:rsid w:val="008F1122"/>
    <w:rsid w:val="00B674AB"/>
    <w:rsid w:val="00BB3589"/>
    <w:rsid w:val="00BE1CC6"/>
    <w:rsid w:val="00C1043C"/>
    <w:rsid w:val="00C55A1B"/>
    <w:rsid w:val="00C76E9E"/>
    <w:rsid w:val="00CC4845"/>
    <w:rsid w:val="00CE01EB"/>
    <w:rsid w:val="00E07D71"/>
    <w:rsid w:val="00E16D04"/>
    <w:rsid w:val="00E857DF"/>
    <w:rsid w:val="00E85CA7"/>
    <w:rsid w:val="00F51907"/>
    <w:rsid w:val="00F72FDD"/>
    <w:rsid w:val="00FC2D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965CAFBD</Template>
  <TotalTime>0</TotalTime>
  <Pages>4</Pages>
  <Words>737</Words>
  <Characters>4648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Wagner, Barbara</cp:lastModifiedBy>
  <cp:revision>8</cp:revision>
  <dcterms:created xsi:type="dcterms:W3CDTF">2019-05-24T07:17:00Z</dcterms:created>
  <dcterms:modified xsi:type="dcterms:W3CDTF">2019-05-27T10:46:00Z</dcterms:modified>
</cp:coreProperties>
</file>